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B576" w14:textId="230F6F62" w:rsidR="00161461" w:rsidRPr="0018227E" w:rsidRDefault="00FA1FC8" w:rsidP="0018227E">
      <w:pPr>
        <w:pStyle w:val="Heading1"/>
        <w:rPr>
          <w:rFonts w:ascii="Arial" w:hAnsi="Arial" w:cs="Arial"/>
          <w:sz w:val="44"/>
          <w:szCs w:val="44"/>
          <w:u w:val="single"/>
        </w:rPr>
      </w:pPr>
      <w:r w:rsidRPr="00FA1FC8">
        <w:rPr>
          <w:rFonts w:ascii="Arial" w:hAnsi="Arial" w:cs="Arial"/>
          <w:u w:val="single"/>
        </w:rPr>
        <w:t>Soc</w:t>
      </w:r>
      <w:r w:rsidR="00161461">
        <w:rPr>
          <w:rFonts w:ascii="Arial" w:hAnsi="Arial" w:cs="Arial"/>
          <w:u w:val="single"/>
        </w:rPr>
        <w:t>i</w:t>
      </w:r>
      <w:r w:rsidRPr="00FA1FC8">
        <w:rPr>
          <w:rFonts w:ascii="Arial" w:hAnsi="Arial" w:cs="Arial"/>
          <w:u w:val="single"/>
        </w:rPr>
        <w:t xml:space="preserve">al Services Systems </w:t>
      </w:r>
    </w:p>
    <w:p w14:paraId="49508209" w14:textId="2230BB66" w:rsidR="0018227E" w:rsidRPr="0018227E" w:rsidRDefault="0018227E" w:rsidP="0018227E">
      <w:pPr>
        <w:pStyle w:val="Heading1"/>
        <w:rPr>
          <w:rFonts w:ascii="Arial" w:hAnsi="Arial" w:cs="Arial"/>
          <w:sz w:val="32"/>
          <w:szCs w:val="32"/>
          <w:u w:val="thick"/>
        </w:rPr>
      </w:pPr>
      <w:r>
        <w:rPr>
          <w:rFonts w:ascii="Segoe UI Symbol" w:hAnsi="Segoe UI Symbol" w:cs="Segoe UI Symbol"/>
          <w:noProof/>
          <w:sz w:val="32"/>
          <w:szCs w:val="32"/>
          <w:u w:val="thick"/>
        </w:rPr>
        <w:drawing>
          <wp:anchor distT="0" distB="0" distL="114300" distR="114300" simplePos="0" relativeHeight="251659264" behindDoc="1" locked="0" layoutInCell="1" allowOverlap="1" wp14:anchorId="29708E50" wp14:editId="248CF101">
            <wp:simplePos x="0" y="0"/>
            <wp:positionH relativeFrom="column">
              <wp:posOffset>1024255</wp:posOffset>
            </wp:positionH>
            <wp:positionV relativeFrom="paragraph">
              <wp:posOffset>186690</wp:posOffset>
            </wp:positionV>
            <wp:extent cx="624114" cy="327660"/>
            <wp:effectExtent l="0" t="0" r="5080" b="0"/>
            <wp:wrapNone/>
            <wp:docPr id="18631013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14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27E">
        <w:rPr>
          <w:rFonts w:ascii="Arial" w:hAnsi="Arial" w:cs="Arial"/>
          <w:sz w:val="32"/>
          <w:szCs w:val="32"/>
          <w:u w:val="thick"/>
        </w:rPr>
        <w:t xml:space="preserve">America </w:t>
      </w:r>
      <w:r w:rsidRPr="0018227E">
        <w:rPr>
          <w:rFonts w:ascii="Segoe UI Symbol" w:hAnsi="Segoe UI Symbol" w:cs="Segoe UI Symbol"/>
          <w:sz w:val="32"/>
          <w:szCs w:val="32"/>
          <w:u w:val="thick"/>
        </w:rPr>
        <w:t>🏛</w:t>
      </w:r>
    </w:p>
    <w:p w14:paraId="7BB821B2" w14:textId="3CF0F823" w:rsidR="00FA1FC8" w:rsidRPr="00161461" w:rsidRDefault="00FA1FC8" w:rsidP="00161461">
      <w:pPr>
        <w:spacing w:line="360" w:lineRule="auto"/>
        <w:rPr>
          <w:rFonts w:ascii="Arial" w:hAnsi="Arial" w:cs="Arial"/>
          <w:sz w:val="24"/>
          <w:szCs w:val="24"/>
        </w:rPr>
      </w:pPr>
      <w:r w:rsidRPr="00161461">
        <w:rPr>
          <w:rFonts w:ascii="Arial" w:hAnsi="Arial" w:cs="Arial"/>
          <w:sz w:val="24"/>
          <w:szCs w:val="24"/>
        </w:rPr>
        <w:t xml:space="preserve">Structure and Governance – no single national social service system – highly decentralized. Federal, state and local governments all provide services often with overlapping roles. </w:t>
      </w:r>
    </w:p>
    <w:p w14:paraId="61E918EF" w14:textId="17AC1DF9" w:rsidR="0051486E" w:rsidRPr="0051486E" w:rsidRDefault="00014609" w:rsidP="00161461">
      <w:pPr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51486E">
        <w:rPr>
          <w:rFonts w:ascii="Arial" w:hAnsi="Arial" w:cs="Arial"/>
          <w:sz w:val="24"/>
          <w:szCs w:val="24"/>
          <w:u w:val="single"/>
        </w:rPr>
        <w:t xml:space="preserve">Key Federal Agencies </w:t>
      </w:r>
    </w:p>
    <w:p w14:paraId="3371EEEC" w14:textId="11541653" w:rsidR="00FA1FC8" w:rsidRPr="0051486E" w:rsidRDefault="00014609" w:rsidP="0016146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51486E">
        <w:rPr>
          <w:rFonts w:ascii="Arial" w:hAnsi="Arial" w:cs="Arial"/>
          <w:sz w:val="24"/>
          <w:szCs w:val="24"/>
        </w:rPr>
        <w:t xml:space="preserve">Administration for Children and Families (ACF) (part of US Department of Health and Human Services): oversees child welfare, foster care, child abuse prevention and refugee resettlement. </w:t>
      </w:r>
    </w:p>
    <w:p w14:paraId="5D5B2CE2" w14:textId="021ED90A" w:rsidR="00014609" w:rsidRDefault="0051486E" w:rsidP="0016146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51486E">
        <w:rPr>
          <w:rFonts w:ascii="Arial" w:hAnsi="Arial" w:cs="Arial"/>
          <w:sz w:val="24"/>
          <w:szCs w:val="24"/>
        </w:rPr>
        <w:t xml:space="preserve">Centres for Medicare and Medical Services (CMS): major provider of healthcare coverage for vulnerable groups </w:t>
      </w:r>
    </w:p>
    <w:p w14:paraId="1259D2F7" w14:textId="425C2910" w:rsidR="00FA1FC8" w:rsidRDefault="0051486E" w:rsidP="0016146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Department of Housing and Urban Development (HUD): housing assistance for low-income families. States administer benefits differently, so services vary widely depending on where a person lives. </w:t>
      </w:r>
    </w:p>
    <w:p w14:paraId="3564B1A1" w14:textId="3075ADF5" w:rsidR="0051486E" w:rsidRPr="00161461" w:rsidRDefault="0051486E" w:rsidP="0016146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161461">
        <w:rPr>
          <w:rFonts w:ascii="Arial" w:hAnsi="Arial" w:cs="Arial"/>
          <w:sz w:val="24"/>
          <w:szCs w:val="24"/>
          <w:u w:val="single"/>
        </w:rPr>
        <w:t>Programs and Services</w:t>
      </w:r>
    </w:p>
    <w:p w14:paraId="556D6F01" w14:textId="12270A74" w:rsidR="0051486E" w:rsidRDefault="0051486E" w:rsidP="0016146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 welfare: foster care, adoption services and child protective services (CPS)</w:t>
      </w:r>
      <w:r w:rsidR="00161461">
        <w:rPr>
          <w:rFonts w:ascii="Arial" w:hAnsi="Arial" w:cs="Arial"/>
          <w:sz w:val="24"/>
          <w:szCs w:val="24"/>
        </w:rPr>
        <w:t xml:space="preserve">. </w:t>
      </w:r>
    </w:p>
    <w:p w14:paraId="4CB574E5" w14:textId="35D5B4B6" w:rsidR="0051486E" w:rsidRDefault="0051486E" w:rsidP="0016146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Income support: </w:t>
      </w:r>
      <w:r w:rsidR="00161461">
        <w:rPr>
          <w:rFonts w:ascii="Arial" w:hAnsi="Arial" w:cs="Arial"/>
          <w:sz w:val="24"/>
          <w:szCs w:val="24"/>
        </w:rPr>
        <w:t xml:space="preserve">Temporary Assistance for Families in Need (TANF), supplemental nutrition assistance programmes (SNAP/Food Stamps) and unemployment assistance. </w:t>
      </w:r>
    </w:p>
    <w:p w14:paraId="78B1321B" w14:textId="47C2C5DD" w:rsidR="00161461" w:rsidRDefault="00161461" w:rsidP="0016146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Healthcare: Medicaid and The Children’s Health Insurance Programe (CHIP) for low-income families. </w:t>
      </w:r>
    </w:p>
    <w:p w14:paraId="6C1200DF" w14:textId="4E23662A" w:rsidR="00161461" w:rsidRDefault="00161461" w:rsidP="0016146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Disability: Social Security Disability Insurance (SSDI) and Supplemental Securitty Income (SSI).</w:t>
      </w:r>
    </w:p>
    <w:p w14:paraId="604B445A" w14:textId="2537C6E5" w:rsidR="00161461" w:rsidRDefault="00161461" w:rsidP="0016146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Community-based Organisations (non-profits):these organisations play a crucial role in filling service gaps (like The National Centre for Children and Families NCCF).</w:t>
      </w:r>
    </w:p>
    <w:p w14:paraId="5D0D27D9" w14:textId="77777777" w:rsidR="00161461" w:rsidRDefault="00161461" w:rsidP="0016146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</w:t>
      </w:r>
      <w:r w:rsidRPr="00161461">
        <w:rPr>
          <w:rFonts w:ascii="Arial" w:hAnsi="Arial" w:cs="Arial"/>
          <w:sz w:val="24"/>
          <w:szCs w:val="24"/>
          <w:u w:val="single"/>
        </w:rPr>
        <w:t xml:space="preserve">trengths </w:t>
      </w:r>
    </w:p>
    <w:p w14:paraId="5A9CC386" w14:textId="4B05BF99" w:rsidR="0018227E" w:rsidRPr="0018227E" w:rsidRDefault="00161461" w:rsidP="00161461">
      <w:pPr>
        <w:spacing w:line="360" w:lineRule="auto"/>
        <w:rPr>
          <w:rFonts w:ascii="Arial" w:hAnsi="Arial" w:cs="Arial"/>
          <w:sz w:val="24"/>
          <w:szCs w:val="24"/>
        </w:rPr>
      </w:pPr>
      <w:r w:rsidRPr="0018227E">
        <w:rPr>
          <w:rFonts w:ascii="Arial" w:hAnsi="Arial" w:cs="Arial"/>
          <w:sz w:val="24"/>
          <w:szCs w:val="24"/>
        </w:rPr>
        <w:lastRenderedPageBreak/>
        <w:t xml:space="preserve">Strong specialized programs (e.g. child abuse </w:t>
      </w:r>
      <w:r w:rsidR="0018227E">
        <w:rPr>
          <w:rFonts w:ascii="Arial" w:hAnsi="Arial" w:cs="Arial"/>
          <w:sz w:val="24"/>
          <w:szCs w:val="24"/>
        </w:rPr>
        <w:t xml:space="preserve">prevention centres, mental health support and homeless shelters). </w:t>
      </w:r>
    </w:p>
    <w:p w14:paraId="30815323" w14:textId="077674A7" w:rsidR="00161461" w:rsidRDefault="00161461" w:rsidP="00161461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</w:t>
      </w:r>
      <w:r w:rsidRPr="00161461">
        <w:rPr>
          <w:rFonts w:ascii="Arial" w:hAnsi="Arial" w:cs="Arial"/>
          <w:sz w:val="24"/>
          <w:szCs w:val="24"/>
          <w:u w:val="single"/>
        </w:rPr>
        <w:t>hallenges</w:t>
      </w:r>
    </w:p>
    <w:p w14:paraId="53AC3F2E" w14:textId="6DF1E505" w:rsidR="0018227E" w:rsidRPr="0018227E" w:rsidRDefault="0018227E" w:rsidP="0018227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18227E">
        <w:rPr>
          <w:rFonts w:ascii="Arial" w:hAnsi="Arial" w:cs="Arial"/>
          <w:sz w:val="24"/>
          <w:szCs w:val="24"/>
        </w:rPr>
        <w:t>Fragmentation – difficult to navigate</w:t>
      </w:r>
    </w:p>
    <w:p w14:paraId="7DF1616E" w14:textId="44C58E1E" w:rsidR="0018227E" w:rsidRDefault="0018227E" w:rsidP="0018227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18227E">
        <w:rPr>
          <w:rFonts w:ascii="Arial" w:hAnsi="Arial" w:cs="Arial"/>
          <w:sz w:val="24"/>
          <w:szCs w:val="24"/>
        </w:rPr>
        <w:t>Unequal Access –state funding and local priorities are different in each state therefore, not always equal for all</w:t>
      </w:r>
    </w:p>
    <w:p w14:paraId="38C195A8" w14:textId="1D82BA4C" w:rsidR="0018227E" w:rsidRDefault="0018227E" w:rsidP="0018227E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Lack of universal childcare, preschool and healthcare coverage in different states compared to others. </w:t>
      </w:r>
    </w:p>
    <w:p w14:paraId="09E4725F" w14:textId="3B31BA9E" w:rsidR="0018227E" w:rsidRPr="0018227E" w:rsidRDefault="0018227E" w:rsidP="0018227E">
      <w:pPr>
        <w:pStyle w:val="Heading1"/>
        <w:rPr>
          <w:rFonts w:ascii="Arial" w:hAnsi="Arial" w:cs="Arial"/>
          <w:sz w:val="32"/>
          <w:szCs w:val="32"/>
          <w:u w:val="thick"/>
        </w:rPr>
      </w:pPr>
      <w:r>
        <w:rPr>
          <w:rFonts w:ascii="Arial" w:hAnsi="Arial" w:cs="Arial"/>
          <w:noProof/>
          <w:sz w:val="32"/>
          <w:szCs w:val="32"/>
          <w:u w:val="thick"/>
        </w:rPr>
        <w:drawing>
          <wp:anchor distT="0" distB="0" distL="114300" distR="114300" simplePos="0" relativeHeight="251658240" behindDoc="1" locked="0" layoutInCell="1" allowOverlap="1" wp14:anchorId="3F8887F5" wp14:editId="27207DF5">
            <wp:simplePos x="0" y="0"/>
            <wp:positionH relativeFrom="column">
              <wp:posOffset>554990</wp:posOffset>
            </wp:positionH>
            <wp:positionV relativeFrom="paragraph">
              <wp:posOffset>10795</wp:posOffset>
            </wp:positionV>
            <wp:extent cx="976767" cy="511175"/>
            <wp:effectExtent l="0" t="0" r="0" b="3175"/>
            <wp:wrapNone/>
            <wp:docPr id="881084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67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27E">
        <w:rPr>
          <w:rFonts w:ascii="Arial" w:hAnsi="Arial" w:cs="Arial"/>
          <w:sz w:val="32"/>
          <w:szCs w:val="32"/>
          <w:u w:val="thick"/>
        </w:rPr>
        <w:t xml:space="preserve">Scotland </w:t>
      </w:r>
    </w:p>
    <w:p w14:paraId="64A3CA9E" w14:textId="47322914" w:rsidR="0018227E" w:rsidRPr="00B1054E" w:rsidRDefault="00335116" w:rsidP="00B1054E">
      <w:pPr>
        <w:rPr>
          <w:rFonts w:ascii="Arial" w:hAnsi="Arial" w:cs="Arial"/>
          <w:sz w:val="24"/>
          <w:szCs w:val="24"/>
        </w:rPr>
      </w:pPr>
      <w:r w:rsidRPr="00B1054E">
        <w:rPr>
          <w:rFonts w:ascii="Arial" w:hAnsi="Arial" w:cs="Arial"/>
          <w:sz w:val="24"/>
          <w:szCs w:val="24"/>
        </w:rPr>
        <w:t xml:space="preserve">Devolved Powers: Scotland has control over health, education, housing and many welfare benefits (since the Scotland Act 2016). </w:t>
      </w:r>
    </w:p>
    <w:p w14:paraId="78794A8C" w14:textId="37816AC8" w:rsidR="00335116" w:rsidRPr="00B1054E" w:rsidRDefault="00335116" w:rsidP="00B1054E">
      <w:pPr>
        <w:rPr>
          <w:rFonts w:ascii="Arial" w:hAnsi="Arial" w:cs="Arial"/>
          <w:sz w:val="24"/>
          <w:szCs w:val="24"/>
        </w:rPr>
      </w:pPr>
      <w:r w:rsidRPr="00B1054E">
        <w:rPr>
          <w:rFonts w:ascii="Arial" w:hAnsi="Arial" w:cs="Arial"/>
          <w:sz w:val="24"/>
          <w:szCs w:val="24"/>
        </w:rPr>
        <w:t xml:space="preserve">Integration Model: </w:t>
      </w:r>
      <w:r w:rsidR="009A5204" w:rsidRPr="00B1054E">
        <w:rPr>
          <w:rFonts w:ascii="Arial" w:hAnsi="Arial" w:cs="Arial"/>
          <w:sz w:val="24"/>
          <w:szCs w:val="24"/>
        </w:rPr>
        <w:t xml:space="preserve">social services are integrated with healthcare through Integration Joint Boards (IJBs), combining local councils and NHS Scotland resources. </w:t>
      </w:r>
    </w:p>
    <w:p w14:paraId="0734A64B" w14:textId="6E3167E1" w:rsidR="009A5204" w:rsidRPr="00B1054E" w:rsidRDefault="00B1054E" w:rsidP="00B1054E">
      <w:pPr>
        <w:rPr>
          <w:rFonts w:ascii="Arial" w:hAnsi="Arial" w:cs="Arial"/>
          <w:sz w:val="24"/>
          <w:szCs w:val="24"/>
        </w:rPr>
      </w:pPr>
      <w:r w:rsidRPr="00B1054E">
        <w:rPr>
          <w:rFonts w:ascii="Arial" w:hAnsi="Arial" w:cs="Arial"/>
          <w:sz w:val="24"/>
          <w:szCs w:val="24"/>
        </w:rPr>
        <w:t xml:space="preserve">Rights-based approach: influenced by the UN Convention on the Rights of the Child (UNCRC), policy emphasizes dignity, fairness and prevention. </w:t>
      </w:r>
    </w:p>
    <w:p w14:paraId="09B087BD" w14:textId="049BC7F8" w:rsidR="00B1054E" w:rsidRPr="00B1054E" w:rsidRDefault="00B1054E" w:rsidP="00B1054E">
      <w:pPr>
        <w:rPr>
          <w:rFonts w:ascii="Arial" w:hAnsi="Arial" w:cs="Arial"/>
          <w:sz w:val="24"/>
          <w:szCs w:val="24"/>
          <w:u w:val="single"/>
        </w:rPr>
      </w:pPr>
      <w:r w:rsidRPr="00B1054E">
        <w:rPr>
          <w:rFonts w:ascii="Arial" w:hAnsi="Arial" w:cs="Arial"/>
          <w:sz w:val="24"/>
          <w:szCs w:val="24"/>
          <w:u w:val="single"/>
        </w:rPr>
        <w:t xml:space="preserve">Programs and Services </w:t>
      </w:r>
    </w:p>
    <w:p w14:paraId="524DA559" w14:textId="01CBA1EA" w:rsidR="00335116" w:rsidRDefault="00B1054E" w:rsidP="00B1054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Social Security Scotland (established 2018): delivers devolved benefits like Scottish Child Payment (SCP), Adult Disability Payment (ADP) and Best Start Grants. The aim is to reduce poverty and support carers and families. </w:t>
      </w:r>
    </w:p>
    <w:p w14:paraId="710ADB50" w14:textId="43196A89" w:rsidR="00B1054E" w:rsidRDefault="00B1054E" w:rsidP="00B1054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Getting it Right for Every Child (GIRFEC), a holistic framework used within schools in Scotland aimed to support children and families wellbeing. </w:t>
      </w:r>
    </w:p>
    <w:p w14:paraId="636E19D6" w14:textId="4866FB05" w:rsidR="00B1054E" w:rsidRDefault="00B1054E" w:rsidP="00B1054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Health and Social care: free prescriptions, more generous disability payments than England and Wales. </w:t>
      </w:r>
    </w:p>
    <w:p w14:paraId="1C30C9B9" w14:textId="1BC61C10" w:rsidR="00B1054E" w:rsidRDefault="00B1054E" w:rsidP="00B1054E">
      <w:pPr>
        <w:rPr>
          <w:rFonts w:ascii="Arial" w:hAnsi="Arial" w:cs="Arial"/>
          <w:sz w:val="24"/>
          <w:szCs w:val="24"/>
          <w:u w:val="single"/>
        </w:rPr>
      </w:pPr>
      <w:r w:rsidRPr="00B1054E">
        <w:rPr>
          <w:rFonts w:ascii="Arial" w:hAnsi="Arial" w:cs="Arial"/>
          <w:sz w:val="24"/>
          <w:szCs w:val="24"/>
          <w:u w:val="single"/>
        </w:rPr>
        <w:t xml:space="preserve">Strengths </w:t>
      </w:r>
    </w:p>
    <w:p w14:paraId="2A11E764" w14:textId="2F3514AF" w:rsidR="00B1054E" w:rsidRPr="00B1054E" w:rsidRDefault="00B1054E" w:rsidP="00B1054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B1054E">
        <w:rPr>
          <w:rFonts w:ascii="Arial" w:hAnsi="Arial" w:cs="Arial"/>
          <w:sz w:val="24"/>
          <w:szCs w:val="24"/>
        </w:rPr>
        <w:t>More universal and equitable (child benefits and healthcare etc)</w:t>
      </w:r>
    </w:p>
    <w:p w14:paraId="6DCB7AA1" w14:textId="01E8CD13" w:rsidR="00B1054E" w:rsidRDefault="00B1054E" w:rsidP="00B1054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B1054E">
        <w:rPr>
          <w:rFonts w:ascii="Arial" w:hAnsi="Arial" w:cs="Arial"/>
          <w:sz w:val="24"/>
          <w:szCs w:val="24"/>
        </w:rPr>
        <w:t xml:space="preserve">Services structured to promote dignity and prevent stigma. </w:t>
      </w:r>
    </w:p>
    <w:p w14:paraId="44555635" w14:textId="77777777" w:rsidR="00B1054E" w:rsidRPr="00B1054E" w:rsidRDefault="00B1054E" w:rsidP="00B1054E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5AF0BBDC" w14:textId="7496F1B3" w:rsidR="00B1054E" w:rsidRPr="00B1054E" w:rsidRDefault="00B1054E" w:rsidP="00B1054E">
      <w:pPr>
        <w:rPr>
          <w:rFonts w:ascii="Arial" w:hAnsi="Arial" w:cs="Arial"/>
          <w:sz w:val="24"/>
          <w:szCs w:val="24"/>
          <w:u w:val="single"/>
        </w:rPr>
      </w:pPr>
      <w:r w:rsidRPr="00B1054E">
        <w:rPr>
          <w:rFonts w:ascii="Arial" w:hAnsi="Arial" w:cs="Arial"/>
          <w:sz w:val="24"/>
          <w:szCs w:val="24"/>
          <w:u w:val="single"/>
        </w:rPr>
        <w:t xml:space="preserve">Challenges </w:t>
      </w:r>
    </w:p>
    <w:p w14:paraId="0C31830A" w14:textId="115BECA2" w:rsidR="0018227E" w:rsidRPr="00B1054E" w:rsidRDefault="005C4B69" w:rsidP="00B1054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1054E">
        <w:rPr>
          <w:rFonts w:ascii="Arial" w:hAnsi="Arial" w:cs="Arial"/>
          <w:sz w:val="24"/>
          <w:szCs w:val="24"/>
        </w:rPr>
        <w:t>Fi</w:t>
      </w:r>
      <w:r>
        <w:rPr>
          <w:rFonts w:ascii="Arial" w:hAnsi="Arial" w:cs="Arial"/>
          <w:sz w:val="24"/>
          <w:szCs w:val="24"/>
        </w:rPr>
        <w:t>nancial</w:t>
      </w:r>
      <w:r w:rsidR="00B1054E" w:rsidRPr="00B1054E">
        <w:rPr>
          <w:rFonts w:ascii="Arial" w:hAnsi="Arial" w:cs="Arial"/>
          <w:sz w:val="24"/>
          <w:szCs w:val="24"/>
        </w:rPr>
        <w:t xml:space="preserve"> pressures and workforce shortages</w:t>
      </w:r>
      <w:r w:rsidR="00B1054E">
        <w:rPr>
          <w:rFonts w:ascii="Arial" w:hAnsi="Arial" w:cs="Arial"/>
          <w:sz w:val="24"/>
          <w:szCs w:val="24"/>
        </w:rPr>
        <w:t xml:space="preserve">. </w:t>
      </w:r>
    </w:p>
    <w:p w14:paraId="55A417C7" w14:textId="32787FE8" w:rsidR="00B1054E" w:rsidRDefault="00B1054E" w:rsidP="00B1054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1054E">
        <w:rPr>
          <w:rFonts w:ascii="Arial" w:hAnsi="Arial" w:cs="Arial"/>
          <w:sz w:val="24"/>
          <w:szCs w:val="24"/>
        </w:rPr>
        <w:t>Reform difficulties – (e.g. the abandoned National Care Service proposal due to funding and governance disputes)</w:t>
      </w:r>
    </w:p>
    <w:p w14:paraId="43DBACDE" w14:textId="7B92BB47" w:rsidR="00B1054E" w:rsidRPr="00B1054E" w:rsidRDefault="00B1054E" w:rsidP="00B1054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Increasing reliance on benefits due to poor mental health outcomes. </w:t>
      </w:r>
    </w:p>
    <w:p w14:paraId="242B65AC" w14:textId="436E01DC" w:rsidR="0018227E" w:rsidRPr="00B1054E" w:rsidRDefault="0018227E" w:rsidP="00FA1FC8">
      <w:pPr>
        <w:rPr>
          <w:rFonts w:ascii="Segoe UI Symbol" w:hAnsi="Segoe UI Symbol" w:cs="Segoe UI Symbol"/>
          <w:b/>
          <w:bCs/>
          <w:sz w:val="40"/>
          <w:szCs w:val="40"/>
          <w:highlight w:val="yellow"/>
        </w:rPr>
      </w:pPr>
    </w:p>
    <w:p w14:paraId="2F812E8D" w14:textId="25D89E6A" w:rsidR="00B1054E" w:rsidRPr="00B1054E" w:rsidRDefault="00FA1FC8" w:rsidP="00B1054E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1054E">
        <w:rPr>
          <w:rFonts w:ascii="Segoe UI Emoji" w:hAnsi="Segoe UI Emoji" w:cs="Segoe UI Emoji"/>
          <w:sz w:val="32"/>
          <w:szCs w:val="32"/>
          <w:u w:val="single"/>
        </w:rPr>
        <w:lastRenderedPageBreak/>
        <w:t>🔍</w:t>
      </w:r>
      <w:r w:rsidR="00B1054E" w:rsidRPr="00B1054E">
        <w:rPr>
          <w:rFonts w:ascii="Arial" w:hAnsi="Arial" w:cs="Arial"/>
          <w:sz w:val="32"/>
          <w:szCs w:val="32"/>
          <w:u w:val="single"/>
        </w:rPr>
        <w:t xml:space="preserve">Key Differences: USA and Scotland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054E" w14:paraId="63F1EE3D" w14:textId="77777777" w:rsidTr="00B1054E">
        <w:tc>
          <w:tcPr>
            <w:tcW w:w="3005" w:type="dxa"/>
          </w:tcPr>
          <w:p w14:paraId="2E924DCF" w14:textId="4A873288" w:rsidR="00B1054E" w:rsidRPr="005C4B69" w:rsidRDefault="00B1054E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 xml:space="preserve">Feature </w:t>
            </w:r>
          </w:p>
        </w:tc>
        <w:tc>
          <w:tcPr>
            <w:tcW w:w="3005" w:type="dxa"/>
          </w:tcPr>
          <w:p w14:paraId="3DBFBA38" w14:textId="5DBE21B3" w:rsidR="00B1054E" w:rsidRPr="005C4B69" w:rsidRDefault="00B1054E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 xml:space="preserve">USA </w:t>
            </w:r>
          </w:p>
        </w:tc>
        <w:tc>
          <w:tcPr>
            <w:tcW w:w="3006" w:type="dxa"/>
          </w:tcPr>
          <w:p w14:paraId="7F57BCC6" w14:textId="2A753937" w:rsidR="00B1054E" w:rsidRPr="005C4B69" w:rsidRDefault="00B1054E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Scotland</w:t>
            </w:r>
          </w:p>
        </w:tc>
      </w:tr>
      <w:tr w:rsidR="00B1054E" w14:paraId="7152D3F3" w14:textId="77777777" w:rsidTr="00B1054E">
        <w:tc>
          <w:tcPr>
            <w:tcW w:w="3005" w:type="dxa"/>
          </w:tcPr>
          <w:p w14:paraId="534D932B" w14:textId="7C59D060" w:rsidR="00B1054E" w:rsidRPr="005C4B69" w:rsidRDefault="00B1054E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3005" w:type="dxa"/>
          </w:tcPr>
          <w:p w14:paraId="6213BFDF" w14:textId="77608380" w:rsidR="00B1054E" w:rsidRPr="005C4B69" w:rsidRDefault="00B1054E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Decentralized: states + federal overlap</w:t>
            </w:r>
          </w:p>
        </w:tc>
        <w:tc>
          <w:tcPr>
            <w:tcW w:w="3006" w:type="dxa"/>
          </w:tcPr>
          <w:p w14:paraId="2AB4B364" w14:textId="3A471BC5" w:rsidR="00B1054E" w:rsidRPr="005C4B69" w:rsidRDefault="00B1054E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Devolved: Integrated with health services</w:t>
            </w:r>
          </w:p>
        </w:tc>
      </w:tr>
      <w:tr w:rsidR="00B1054E" w14:paraId="7DD61B4E" w14:textId="77777777" w:rsidTr="00EF5405">
        <w:trPr>
          <w:trHeight w:val="1563"/>
        </w:trPr>
        <w:tc>
          <w:tcPr>
            <w:tcW w:w="3005" w:type="dxa"/>
          </w:tcPr>
          <w:p w14:paraId="1199FC34" w14:textId="6E26547D" w:rsidR="00B1054E" w:rsidRPr="005C4B69" w:rsidRDefault="00B1054E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Child Welfare</w:t>
            </w:r>
          </w:p>
        </w:tc>
        <w:tc>
          <w:tcPr>
            <w:tcW w:w="3005" w:type="dxa"/>
          </w:tcPr>
          <w:p w14:paraId="5B6D1228" w14:textId="27D62739" w:rsidR="00B1054E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Run by state CPS agencies: federally guided</w:t>
            </w:r>
          </w:p>
        </w:tc>
        <w:tc>
          <w:tcPr>
            <w:tcW w:w="3006" w:type="dxa"/>
          </w:tcPr>
          <w:p w14:paraId="025E7C60" w14:textId="5ED26F4C" w:rsidR="00B1054E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 xml:space="preserve">Getting it Right for Every Child - GIRFEC approach: local child protection committees </w:t>
            </w:r>
          </w:p>
        </w:tc>
      </w:tr>
      <w:tr w:rsidR="00EF5405" w14:paraId="37749E40" w14:textId="77777777" w:rsidTr="00B1054E">
        <w:tc>
          <w:tcPr>
            <w:tcW w:w="3005" w:type="dxa"/>
          </w:tcPr>
          <w:p w14:paraId="38937EF6" w14:textId="03F44538" w:rsidR="00EF5405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Approach</w:t>
            </w:r>
          </w:p>
        </w:tc>
        <w:tc>
          <w:tcPr>
            <w:tcW w:w="3005" w:type="dxa"/>
          </w:tcPr>
          <w:p w14:paraId="25854A57" w14:textId="77777777" w:rsidR="00EF5405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Essential: fill many services gaps (e.g. NCCF)</w:t>
            </w:r>
          </w:p>
          <w:p w14:paraId="0D7A77E4" w14:textId="1FF9558B" w:rsidR="00EF5405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Reactive, fragmented, safety-net focused</w:t>
            </w:r>
          </w:p>
        </w:tc>
        <w:tc>
          <w:tcPr>
            <w:tcW w:w="3006" w:type="dxa"/>
          </w:tcPr>
          <w:p w14:paraId="0A2587AD" w14:textId="77777777" w:rsidR="00EF5405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 xml:space="preserve">Present but, less critical: services are more comprehensive </w:t>
            </w:r>
          </w:p>
          <w:p w14:paraId="2E56151C" w14:textId="74D38316" w:rsidR="00EF5405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Preventative, integrated, dignity-focused</w:t>
            </w:r>
          </w:p>
        </w:tc>
      </w:tr>
      <w:tr w:rsidR="00B1054E" w14:paraId="29E0E1D1" w14:textId="77777777" w:rsidTr="00B1054E">
        <w:tc>
          <w:tcPr>
            <w:tcW w:w="3005" w:type="dxa"/>
          </w:tcPr>
          <w:p w14:paraId="19E27487" w14:textId="572318DE" w:rsidR="00B1054E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Benefits</w:t>
            </w:r>
          </w:p>
        </w:tc>
        <w:tc>
          <w:tcPr>
            <w:tcW w:w="3005" w:type="dxa"/>
          </w:tcPr>
          <w:p w14:paraId="1F9D2CE5" w14:textId="1C7EB9FA" w:rsidR="00B1054E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Means-tested varying state by state (TANF, SNAP, SSI)</w:t>
            </w:r>
          </w:p>
        </w:tc>
        <w:tc>
          <w:tcPr>
            <w:tcW w:w="3006" w:type="dxa"/>
          </w:tcPr>
          <w:p w14:paraId="6BD01C77" w14:textId="47602CE7" w:rsidR="00B1054E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Universal/rights-based, Scottish child payments, free prescriptions</w:t>
            </w:r>
          </w:p>
        </w:tc>
      </w:tr>
      <w:tr w:rsidR="00EF5405" w14:paraId="7D49182F" w14:textId="77777777" w:rsidTr="00B1054E">
        <w:tc>
          <w:tcPr>
            <w:tcW w:w="3005" w:type="dxa"/>
          </w:tcPr>
          <w:p w14:paraId="6948F616" w14:textId="41DFF5E7" w:rsidR="00EF5405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Current Pressures</w:t>
            </w:r>
          </w:p>
        </w:tc>
        <w:tc>
          <w:tcPr>
            <w:tcW w:w="3005" w:type="dxa"/>
          </w:tcPr>
          <w:p w14:paraId="2F1599B6" w14:textId="646FB143" w:rsidR="00EF5405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Inequality across States, lack of universal coverage</w:t>
            </w:r>
          </w:p>
        </w:tc>
        <w:tc>
          <w:tcPr>
            <w:tcW w:w="3006" w:type="dxa"/>
          </w:tcPr>
          <w:p w14:paraId="6AB6AE49" w14:textId="7D081A09" w:rsidR="00EF5405" w:rsidRPr="005C4B69" w:rsidRDefault="00EF5405" w:rsidP="00FA1FC8">
            <w:pPr>
              <w:rPr>
                <w:rFonts w:ascii="Arial" w:hAnsi="Arial" w:cs="Arial"/>
                <w:sz w:val="24"/>
                <w:szCs w:val="24"/>
              </w:rPr>
            </w:pPr>
            <w:r w:rsidRPr="005C4B69">
              <w:rPr>
                <w:rFonts w:ascii="Arial" w:hAnsi="Arial" w:cs="Arial"/>
                <w:sz w:val="24"/>
                <w:szCs w:val="24"/>
              </w:rPr>
              <w:t>Rising disability/mental health costs and staffing shortages</w:t>
            </w:r>
          </w:p>
        </w:tc>
      </w:tr>
    </w:tbl>
    <w:p w14:paraId="7CBC5F1F" w14:textId="77777777" w:rsidR="00B1054E" w:rsidRPr="00B1054E" w:rsidRDefault="00B1054E" w:rsidP="00FA1FC8">
      <w:pPr>
        <w:rPr>
          <w:rFonts w:ascii="Arial" w:hAnsi="Arial" w:cs="Arial"/>
          <w:b/>
          <w:bCs/>
          <w:sz w:val="32"/>
          <w:szCs w:val="32"/>
          <w:highlight w:val="yellow"/>
        </w:rPr>
      </w:pPr>
    </w:p>
    <w:p w14:paraId="72BBA737" w14:textId="62191766" w:rsidR="00B1054E" w:rsidRPr="00EF5405" w:rsidRDefault="00EF5405" w:rsidP="00EF5405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EF5405">
        <w:rPr>
          <w:rFonts w:ascii="Arial" w:hAnsi="Arial" w:cs="Arial"/>
          <w:sz w:val="32"/>
          <w:szCs w:val="32"/>
          <w:u w:val="single"/>
        </w:rPr>
        <w:t xml:space="preserve">Summary </w:t>
      </w:r>
    </w:p>
    <w:p w14:paraId="1477CA75" w14:textId="0BDC0DB4" w:rsidR="00EF5405" w:rsidRPr="005C4B69" w:rsidRDefault="00EF5405" w:rsidP="00FA1FC8">
      <w:pPr>
        <w:rPr>
          <w:rFonts w:ascii="Arial" w:hAnsi="Arial" w:cs="Arial"/>
          <w:sz w:val="24"/>
          <w:szCs w:val="24"/>
        </w:rPr>
      </w:pPr>
      <w:r w:rsidRPr="005C4B69">
        <w:rPr>
          <w:rFonts w:ascii="Arial" w:hAnsi="Arial" w:cs="Arial"/>
          <w:sz w:val="24"/>
          <w:szCs w:val="24"/>
        </w:rPr>
        <w:t>The system in the USA is more fragmented and dependant on nonprofits like the National Centre for Childre</w:t>
      </w:r>
      <w:r w:rsidR="005C4B69" w:rsidRPr="005C4B69">
        <w:rPr>
          <w:rFonts w:ascii="Arial" w:hAnsi="Arial" w:cs="Arial"/>
          <w:sz w:val="24"/>
          <w:szCs w:val="24"/>
        </w:rPr>
        <w:t xml:space="preserve">n </w:t>
      </w:r>
      <w:r w:rsidRPr="005C4B69">
        <w:rPr>
          <w:rFonts w:ascii="Arial" w:hAnsi="Arial" w:cs="Arial"/>
          <w:sz w:val="24"/>
          <w:szCs w:val="24"/>
        </w:rPr>
        <w:t>and Families to cover the gaps. Whereas, Scotland aims for universality and dignity but, struggle with service capacity. The NCCF in Washington DC is a prime example of how community-based organisations can become lifelines.</w:t>
      </w:r>
    </w:p>
    <w:p w14:paraId="7AC53B7D" w14:textId="77777777" w:rsidR="00C67372" w:rsidRDefault="00C67372"/>
    <w:sectPr w:rsidR="00C67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pt;height:10.8pt" o:bullet="t">
        <v:imagedata r:id="rId1" o:title="msoDB3D"/>
      </v:shape>
    </w:pict>
  </w:numPicBullet>
  <w:abstractNum w:abstractNumId="0" w15:restartNumberingAfterBreak="0">
    <w:nsid w:val="029F4B23"/>
    <w:multiLevelType w:val="multilevel"/>
    <w:tmpl w:val="A10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B0A16"/>
    <w:multiLevelType w:val="multilevel"/>
    <w:tmpl w:val="521A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2187D"/>
    <w:multiLevelType w:val="hybridMultilevel"/>
    <w:tmpl w:val="48B8336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6DE4"/>
    <w:multiLevelType w:val="hybridMultilevel"/>
    <w:tmpl w:val="0C660A82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3E5128"/>
    <w:multiLevelType w:val="multilevel"/>
    <w:tmpl w:val="7392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56B27"/>
    <w:multiLevelType w:val="hybridMultilevel"/>
    <w:tmpl w:val="1930A146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98481B"/>
    <w:multiLevelType w:val="hybridMultilevel"/>
    <w:tmpl w:val="18BE8E3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84511"/>
    <w:multiLevelType w:val="hybridMultilevel"/>
    <w:tmpl w:val="D50006C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6045B"/>
    <w:multiLevelType w:val="multilevel"/>
    <w:tmpl w:val="8F24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86A19"/>
    <w:multiLevelType w:val="multilevel"/>
    <w:tmpl w:val="121C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3196B"/>
    <w:multiLevelType w:val="multilevel"/>
    <w:tmpl w:val="B7CA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D16E2"/>
    <w:multiLevelType w:val="hybridMultilevel"/>
    <w:tmpl w:val="48AC7E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E0072"/>
    <w:multiLevelType w:val="multilevel"/>
    <w:tmpl w:val="A73C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9840AC"/>
    <w:multiLevelType w:val="multilevel"/>
    <w:tmpl w:val="A746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DC7420"/>
    <w:multiLevelType w:val="multilevel"/>
    <w:tmpl w:val="A76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E44A7"/>
    <w:multiLevelType w:val="hybridMultilevel"/>
    <w:tmpl w:val="45D0C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D2567"/>
    <w:multiLevelType w:val="hybridMultilevel"/>
    <w:tmpl w:val="3094F4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C1A8B"/>
    <w:multiLevelType w:val="multilevel"/>
    <w:tmpl w:val="052E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851320">
    <w:abstractNumId w:val="13"/>
  </w:num>
  <w:num w:numId="2" w16cid:durableId="1279800104">
    <w:abstractNumId w:val="0"/>
  </w:num>
  <w:num w:numId="3" w16cid:durableId="47387971">
    <w:abstractNumId w:val="4"/>
  </w:num>
  <w:num w:numId="4" w16cid:durableId="1160269580">
    <w:abstractNumId w:val="9"/>
  </w:num>
  <w:num w:numId="5" w16cid:durableId="1311129823">
    <w:abstractNumId w:val="8"/>
  </w:num>
  <w:num w:numId="6" w16cid:durableId="1360280345">
    <w:abstractNumId w:val="12"/>
  </w:num>
  <w:num w:numId="7" w16cid:durableId="510219888">
    <w:abstractNumId w:val="14"/>
  </w:num>
  <w:num w:numId="8" w16cid:durableId="1181165600">
    <w:abstractNumId w:val="10"/>
  </w:num>
  <w:num w:numId="9" w16cid:durableId="1484590187">
    <w:abstractNumId w:val="1"/>
  </w:num>
  <w:num w:numId="10" w16cid:durableId="1623262738">
    <w:abstractNumId w:val="17"/>
  </w:num>
  <w:num w:numId="11" w16cid:durableId="1337345706">
    <w:abstractNumId w:val="15"/>
  </w:num>
  <w:num w:numId="12" w16cid:durableId="44989689">
    <w:abstractNumId w:val="5"/>
  </w:num>
  <w:num w:numId="13" w16cid:durableId="742874586">
    <w:abstractNumId w:val="3"/>
  </w:num>
  <w:num w:numId="14" w16cid:durableId="351539683">
    <w:abstractNumId w:val="11"/>
  </w:num>
  <w:num w:numId="15" w16cid:durableId="778258064">
    <w:abstractNumId w:val="6"/>
  </w:num>
  <w:num w:numId="16" w16cid:durableId="1991323707">
    <w:abstractNumId w:val="2"/>
  </w:num>
  <w:num w:numId="17" w16cid:durableId="1651326278">
    <w:abstractNumId w:val="16"/>
  </w:num>
  <w:num w:numId="18" w16cid:durableId="1649280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C8"/>
    <w:rsid w:val="00014609"/>
    <w:rsid w:val="00161461"/>
    <w:rsid w:val="0018227E"/>
    <w:rsid w:val="00335116"/>
    <w:rsid w:val="0051486E"/>
    <w:rsid w:val="005C4B69"/>
    <w:rsid w:val="0067218C"/>
    <w:rsid w:val="00882D6D"/>
    <w:rsid w:val="009214F2"/>
    <w:rsid w:val="009A5204"/>
    <w:rsid w:val="00A659A4"/>
    <w:rsid w:val="00B1054E"/>
    <w:rsid w:val="00C67372"/>
    <w:rsid w:val="00EA2F56"/>
    <w:rsid w:val="00EF5405"/>
    <w:rsid w:val="00FA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E848"/>
  <w15:chartTrackingRefBased/>
  <w15:docId w15:val="{51BBBFA8-97B6-4A76-8215-65329B83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F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Fox</dc:creator>
  <cp:keywords/>
  <dc:description/>
  <cp:lastModifiedBy>Andrew Fox</cp:lastModifiedBy>
  <cp:revision>2</cp:revision>
  <dcterms:created xsi:type="dcterms:W3CDTF">2025-09-09T22:52:00Z</dcterms:created>
  <dcterms:modified xsi:type="dcterms:W3CDTF">2025-09-09T22:52:00Z</dcterms:modified>
</cp:coreProperties>
</file>